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Times New Roman" w:cs="Times New Roman" w:hAnsi="Times New Roman"/>
          <w:b/>
          <w:bCs/>
          <w:sz w:val="24"/>
          <w:szCs w:val="24"/>
        </w:rPr>
        <w:t>Brewers Additional Information 2015</w:t>
      </w:r>
    </w:p>
    <w:p>
      <w:pPr>
        <w:pStyle w:val="style0"/>
      </w:pPr>
      <w:r>
        <w:rPr>
          <w:rFonts w:ascii="Times New Roman" w:cs="Times New Roman" w:hAnsi="Times New Roman"/>
          <w:sz w:val="24"/>
          <w:szCs w:val="24"/>
        </w:rPr>
        <w:t>What you need to know about Acadia's Oktoberfest and the Special Taste Testing Event License</w:t>
      </w:r>
    </w:p>
    <w:p>
      <w:pPr>
        <w:pStyle w:val="style0"/>
      </w:pPr>
      <w:r>
        <w:rPr>
          <w:rFonts w:ascii="Times New Roman" w:cs="Times New Roman" w:hAnsi="Times New Roman"/>
          <w:sz w:val="24"/>
          <w:szCs w:val="24"/>
        </w:rPr>
        <w:t>There have been a number of questions from brewers and distributors about the execution of Oktoberfest under the</w:t>
      </w:r>
      <w:r>
        <w:rPr>
          <w:rFonts w:ascii="Times New Roman" w:cs="Times New Roman" w:hAnsi="Times New Roman"/>
          <w:color w:val="000000"/>
          <w:sz w:val="24"/>
          <w:szCs w:val="24"/>
        </w:rPr>
        <w:t xml:space="preserve"> </w:t>
      </w:r>
      <w:hyperlink r:id="rId2">
        <w:r>
          <w:rPr>
            <w:rStyle w:val="style16"/>
            <w:rStyle w:val="style17"/>
            <w:rFonts w:ascii="Times New Roman" w:cs="Times New Roman" w:hAnsi="Times New Roman"/>
            <w:color w:val="000000"/>
            <w:sz w:val="24"/>
            <w:szCs w:val="24"/>
            <w:u w:val="none"/>
          </w:rPr>
          <w:t>Special Taste Testing Event License</w:t>
        </w:r>
      </w:hyperlink>
      <w:r>
        <w:rPr>
          <w:rStyle w:val="style16"/>
          <w:rFonts w:ascii="Times New Roman" w:cs="Times New Roman" w:hAnsi="Times New Roman"/>
          <w:color w:val="000000"/>
          <w:sz w:val="24"/>
          <w:szCs w:val="24"/>
          <w:u w:val="none"/>
        </w:rPr>
        <w:t xml:space="preserve"> .</w:t>
      </w:r>
      <w:r>
        <w:rPr/>
        <w:t xml:space="preserve"> </w:t>
      </w:r>
      <w:r>
        <w:rPr>
          <w:rFonts w:ascii="Times New Roman" w:cs="Times New Roman" w:hAnsi="Times New Roman"/>
          <w:sz w:val="24"/>
          <w:szCs w:val="24"/>
        </w:rPr>
        <w:t>The liquor licensing inspector for our area, Randy Mosley, attended our event for the first time in 2014.  Since then, the Southwest Harbor &amp; Tremont Chamber of Commerce has been in conversation with him about the proper handling of alcoholic products at Oktoberfest.</w:t>
      </w:r>
    </w:p>
    <w:p>
      <w:pPr>
        <w:pStyle w:val="style0"/>
      </w:pPr>
      <w:hyperlink r:id="rId3">
        <w:r>
          <w:rPr>
            <w:rStyle w:val="style16"/>
            <w:rStyle w:val="style16"/>
            <w:rFonts w:ascii="Times New Roman" w:cs="Times New Roman" w:hAnsi="Times New Roman"/>
            <w:color w:val="000000"/>
            <w:sz w:val="24"/>
            <w:szCs w:val="24"/>
            <w:u w:val="none"/>
          </w:rPr>
          <w:t>The law</w:t>
        </w:r>
      </w:hyperlink>
      <w:r>
        <w:rPr>
          <w:rStyle w:val="style16"/>
          <w:rFonts w:ascii="Times New Roman" w:cs="Times New Roman" w:hAnsi="Times New Roman"/>
          <w:color w:val="000000"/>
          <w:sz w:val="24"/>
          <w:szCs w:val="24"/>
          <w:u w:val="none"/>
        </w:rPr>
        <w:t xml:space="preserve"> governing</w:t>
      </w:r>
      <w:r>
        <w:rPr>
          <w:rFonts w:ascii="Times New Roman" w:cs="Times New Roman" w:hAnsi="Times New Roman"/>
          <w:color w:val="0070C0"/>
          <w:sz w:val="24"/>
          <w:szCs w:val="24"/>
        </w:rPr>
        <w:t xml:space="preserve"> </w:t>
      </w:r>
      <w:r>
        <w:rPr>
          <w:rFonts w:ascii="Times New Roman" w:cs="Times New Roman" w:hAnsi="Times New Roman"/>
          <w:sz w:val="24"/>
          <w:szCs w:val="24"/>
        </w:rPr>
        <w:t xml:space="preserve">the Special Taste Testing Event License was passed and enacted on April 8, 2014.  It allows brewers and distributors to handle and pour their own products under controlled conditions at a special taste testing event such as Oktoberfest.   </w:t>
      </w:r>
      <w:r>
        <w:rPr>
          <w:rFonts w:ascii="Times New Roman" w:cs="Times New Roman" w:hAnsi="Times New Roman"/>
          <w:b/>
          <w:i/>
          <w:color w:val="FF0000"/>
          <w:sz w:val="24"/>
          <w:szCs w:val="24"/>
        </w:rPr>
        <w:t>Brewers and distributors are the licensees and may transport, handle and pour their own products.</w:t>
      </w:r>
    </w:p>
    <w:p>
      <w:pPr>
        <w:pStyle w:val="style0"/>
      </w:pPr>
      <w:r>
        <w:rPr>
          <w:rFonts w:ascii="Times New Roman" w:cs="Times New Roman" w:hAnsi="Times New Roman"/>
          <w:sz w:val="24"/>
          <w:szCs w:val="24"/>
        </w:rPr>
        <w:t xml:space="preserve">The role of the Chamber is to help facilitate the event and </w:t>
      </w:r>
      <w:r>
        <w:rPr>
          <w:rFonts w:ascii="Times New Roman" w:cs="Times New Roman" w:hAnsi="Times New Roman"/>
          <w:i/>
          <w:color w:val="FF0000"/>
          <w:sz w:val="24"/>
          <w:szCs w:val="24"/>
        </w:rPr>
        <w:t>the Chamber will handle the Application and the Affidavits, pay the fees and represent the application</w:t>
      </w:r>
      <w:r>
        <w:rPr>
          <w:rFonts w:ascii="Times New Roman" w:cs="Times New Roman" w:hAnsi="Times New Roman"/>
          <w:color w:val="FF0000"/>
          <w:sz w:val="24"/>
          <w:szCs w:val="24"/>
        </w:rPr>
        <w:t xml:space="preserve"> </w:t>
      </w:r>
      <w:r>
        <w:rPr>
          <w:rFonts w:ascii="Times New Roman" w:cs="Times New Roman" w:hAnsi="Times New Roman"/>
          <w:sz w:val="24"/>
          <w:szCs w:val="24"/>
        </w:rPr>
        <w:t xml:space="preserve">before the Southwest Harbor Board of Selectmen.  The Chamber will </w:t>
      </w:r>
      <w:r>
        <w:rPr>
          <w:rFonts w:ascii="Times New Roman" w:cs="Times New Roman" w:hAnsi="Times New Roman"/>
          <w:i/>
          <w:color w:val="FF0000"/>
          <w:sz w:val="24"/>
          <w:szCs w:val="24"/>
        </w:rPr>
        <w:t>prove badges and security, ice and refrigeration</w:t>
      </w:r>
      <w:r>
        <w:rPr>
          <w:rFonts w:ascii="Times New Roman" w:cs="Times New Roman" w:hAnsi="Times New Roman"/>
          <w:color w:val="FF0000"/>
          <w:sz w:val="24"/>
          <w:szCs w:val="24"/>
        </w:rPr>
        <w:t xml:space="preserve"> </w:t>
      </w:r>
      <w:r>
        <w:rPr>
          <w:rFonts w:ascii="Times New Roman" w:cs="Times New Roman" w:hAnsi="Times New Roman"/>
          <w:sz w:val="24"/>
          <w:szCs w:val="24"/>
        </w:rPr>
        <w:t xml:space="preserve">as needed.  The Chamber will </w:t>
      </w:r>
      <w:r>
        <w:rPr>
          <w:rFonts w:ascii="Times New Roman" w:cs="Times New Roman" w:hAnsi="Times New Roman"/>
          <w:i/>
          <w:color w:val="FF0000"/>
          <w:sz w:val="24"/>
          <w:szCs w:val="24"/>
        </w:rPr>
        <w:t>advertise the event and organize all the other customary activities</w:t>
      </w:r>
      <w:r>
        <w:rPr>
          <w:rFonts w:ascii="Times New Roman" w:cs="Times New Roman" w:hAnsi="Times New Roman"/>
          <w:color w:val="FF0000"/>
          <w:sz w:val="24"/>
          <w:szCs w:val="24"/>
        </w:rPr>
        <w:t xml:space="preserve"> </w:t>
      </w:r>
      <w:r>
        <w:rPr>
          <w:rFonts w:ascii="Times New Roman" w:cs="Times New Roman" w:hAnsi="Times New Roman"/>
          <w:sz w:val="24"/>
          <w:szCs w:val="24"/>
        </w:rPr>
        <w:t>such as the food tent and games and crowd control and music as it has done in the past.</w:t>
      </w:r>
    </w:p>
    <w:p>
      <w:pPr>
        <w:pStyle w:val="style0"/>
      </w:pPr>
      <w:r>
        <w:rPr>
          <w:rFonts w:ascii="Times New Roman" w:cs="Times New Roman" w:hAnsi="Times New Roman"/>
          <w:sz w:val="24"/>
          <w:szCs w:val="24"/>
        </w:rPr>
        <w:t>The Chamber will NOT buy beer, but instead REIMBURSE the brewers and distributors for the products they bring and pour.  The Chamber may provide additional pourers.</w:t>
      </w:r>
    </w:p>
    <w:p>
      <w:pPr>
        <w:pStyle w:val="style0"/>
      </w:pPr>
      <w:r>
        <w:rPr>
          <w:rFonts w:ascii="Times New Roman" w:cs="Times New Roman" w:hAnsi="Times New Roman"/>
          <w:sz w:val="24"/>
          <w:szCs w:val="24"/>
        </w:rPr>
        <w:t>The Chamber has received both written and verbal assurances about our plans for the event from Mr. Mosley.  Mr. Mosley's primary concerns are preventing service to individuals under 21, the correct handling of the product, and clear identification of servers with badges and affidavits.</w:t>
      </w:r>
    </w:p>
    <w:p>
      <w:pPr>
        <w:pStyle w:val="style0"/>
      </w:pPr>
      <w:r>
        <w:rPr/>
      </w:r>
    </w:p>
    <w:p>
      <w:pPr>
        <w:pStyle w:val="style0"/>
      </w:pPr>
      <w:r>
        <w:rPr/>
      </w:r>
    </w:p>
    <w:p>
      <w:pPr>
        <w:pStyle w:val="style0"/>
        <w:widowControl/>
        <w:suppressAutoHyphens w:val="true"/>
        <w:spacing w:after="200" w:before="0" w:line="276" w:lineRule="auto"/>
        <w:contextualSpacing w:val="false"/>
      </w:pPr>
      <w:r>
        <w:rPr/>
      </w:r>
    </w:p>
    <w:sectPr>
      <w:type w:val="nextPage"/>
      <w:pgSz w:h="15840" w:w="12240"/>
      <w:pgMar w:bottom="1440" w:footer="0" w:gutter="0" w:header="0" w:left="1440" w:right="1440" w:top="1440"/>
      <w:pgNumType w:fmt="decimal"/>
      <w:formProt w:val="false"/>
      <w:textDirection w:val="lrTb"/>
      <w:docGrid w:charSpace="2457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zxx-" w:eastAsia="zxx-" w:val="zxx-"/>
    </w:rPr>
  </w:style>
  <w:style w:styleId="style17" w:type="character">
    <w:name w:val="Visited Internet Link"/>
    <w:next w:val="style17"/>
    <w:rPr>
      <w:color w:val="800000"/>
      <w:u w:val="single"/>
      <w:lang w:bidi="zxx-" w:eastAsia="zxx-" w:val="zxx-"/>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contextualSpacing w:val="false"/>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ine.gov/dafs/bablo/docs/Application for a Special Tasting Event License.pdf" TargetMode="External"/><Relationship Id="rId3" Type="http://schemas.openxmlformats.org/officeDocument/2006/relationships/hyperlink" Target="http://www.mainelegislature.org/legis/statutes/28-A/title28-Asec1052-D.htm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2538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2015-03-06T15:17:00.00Z</dcterms:created>
  <dc:creator>Kristin</dc:creator>
  <cp:lastModifiedBy>Kristin</cp:lastModifiedBy>
  <dcterms:modified xsi:type="dcterms:W3CDTF">2015-03-16T13:29:00.00Z</dcterms:modified>
  <cp:revision>4</cp:revision>
</cp:coreProperties>
</file>